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06F84" w14:textId="77777777" w:rsidR="002857C8" w:rsidRPr="002857C8" w:rsidRDefault="002857C8" w:rsidP="002857C8">
      <w:r w:rsidRPr="002857C8">
        <w:t>ÉPARGNE SALARIALE</w:t>
      </w:r>
    </w:p>
    <w:p w14:paraId="0772EE21" w14:textId="77777777" w:rsidR="002857C8" w:rsidRPr="002857C8" w:rsidRDefault="002857C8" w:rsidP="002857C8">
      <w:r w:rsidRPr="002857C8">
        <w:t>L’épargne salariale permet d’intéresser les salariés aux résultats de leur entreprise et de favoriser l’épargne collective et le développement des investissements des entreprises.</w:t>
      </w:r>
    </w:p>
    <w:p w14:paraId="5F260CED" w14:textId="77777777" w:rsidR="002857C8" w:rsidRPr="002857C8" w:rsidRDefault="002857C8" w:rsidP="002857C8">
      <w:r w:rsidRPr="002857C8">
        <w:t>Elle n’a pas vocation à se substituer au salaire mais renforce les engagements réciproques du salarié et de l’entreprise, en ajoutant au salaire une participation aux résultats et à l’accroissement de la valeur de l’entreprise.</w:t>
      </w:r>
    </w:p>
    <w:p w14:paraId="51CACEFE" w14:textId="77777777" w:rsidR="002857C8" w:rsidRPr="002857C8" w:rsidRDefault="002857C8" w:rsidP="002857C8">
      <w:r w:rsidRPr="002857C8">
        <w:t>L’épargne salariale revêt différentes formes : participation, l’intéressement, plans d’épargne salariale. Elle est mise en place dans le cadre d’accords d’entreprise et ouvre droit à des avantages.</w:t>
      </w:r>
    </w:p>
    <w:p w14:paraId="6C73B984" w14:textId="77777777" w:rsidR="002857C8" w:rsidRPr="002857C8" w:rsidRDefault="002857C8" w:rsidP="002857C8">
      <w:r w:rsidRPr="002857C8">
        <w:t>PRINCIPES GÉNÉRAUX</w:t>
      </w:r>
    </w:p>
    <w:p w14:paraId="2EA0F597" w14:textId="77777777" w:rsidR="002857C8" w:rsidRPr="002857C8" w:rsidRDefault="002857C8" w:rsidP="002857C8">
      <w:r w:rsidRPr="002857C8">
        <w:t xml:space="preserve">L’épargne salariale consiste en un ensemble de dispositifs </w:t>
      </w:r>
    </w:p>
    <w:p w14:paraId="6FFA666A" w14:textId="77777777" w:rsidR="002857C8" w:rsidRPr="002857C8" w:rsidRDefault="002857C8" w:rsidP="002857C8">
      <w:r w:rsidRPr="002857C8">
        <w:t xml:space="preserve">La participation, </w:t>
      </w:r>
    </w:p>
    <w:p w14:paraId="7437D210" w14:textId="77777777" w:rsidR="002857C8" w:rsidRPr="002857C8" w:rsidRDefault="002857C8" w:rsidP="002857C8">
      <w:r w:rsidRPr="002857C8">
        <w:t xml:space="preserve">L’intéressement, </w:t>
      </w:r>
    </w:p>
    <w:p w14:paraId="1C829CD6" w14:textId="77777777" w:rsidR="002857C8" w:rsidRPr="002857C8" w:rsidRDefault="002857C8" w:rsidP="002857C8">
      <w:r w:rsidRPr="002857C8">
        <w:t xml:space="preserve">Les plans d’épargne salariale </w:t>
      </w:r>
    </w:p>
    <w:p w14:paraId="59C77C4E" w14:textId="77777777" w:rsidR="002857C8" w:rsidRPr="002857C8" w:rsidRDefault="002857C8" w:rsidP="002857C8">
      <w:r w:rsidRPr="002857C8">
        <w:t xml:space="preserve">Dont l’objectif est d’associer les salariés aux résultats et aux performances de leur entreprise et de favoriser l’épargne collective et le développement des investissements des entreprises. Distincte du salaire, auquel elle ne peut se substituer, l’épargne salariale constitue un élément de motivation et, à ce titre, fait le plus souvent partie de la politique de rémunération globale de l’entreprise. </w:t>
      </w:r>
    </w:p>
    <w:p w14:paraId="54F8AFE0" w14:textId="77777777" w:rsidR="002857C8" w:rsidRPr="002857C8" w:rsidRDefault="002857C8" w:rsidP="002857C8">
      <w:r w:rsidRPr="002857C8">
        <w:t>LA PARTICIPATION, UN DISPOSITIF OBLIGATOIRE DÈS 50 SALARIÉS</w:t>
      </w:r>
    </w:p>
    <w:p w14:paraId="638001A9" w14:textId="77777777" w:rsidR="002857C8" w:rsidRPr="002857C8" w:rsidRDefault="002857C8" w:rsidP="002857C8">
      <w:r w:rsidRPr="002857C8">
        <w:t xml:space="preserve">La participation consiste à redistribuer aux salariés une partie des bénéfices qu’ils ont contribué, par leur travail, à faire réaliser à leur entreprise. </w:t>
      </w:r>
    </w:p>
    <w:p w14:paraId="40CC8FB4" w14:textId="2F41C479" w:rsidR="002857C8" w:rsidRPr="002857C8" w:rsidRDefault="002857C8" w:rsidP="002857C8">
      <w:r w:rsidRPr="002857C8">
        <w:t>Ce dispositif est obligatoire pour les entreprises d’au moins 50 salariés, facultati</w:t>
      </w:r>
      <w:r w:rsidR="00345A12">
        <w:t>f</w:t>
      </w:r>
      <w:bookmarkStart w:id="0" w:name="_GoBack"/>
      <w:bookmarkEnd w:id="0"/>
      <w:r w:rsidRPr="002857C8">
        <w:t xml:space="preserve"> pour les autres.</w:t>
      </w:r>
    </w:p>
    <w:p w14:paraId="02B1C808" w14:textId="77777777" w:rsidR="002857C8" w:rsidRPr="002857C8" w:rsidRDefault="002857C8" w:rsidP="002857C8">
      <w:r w:rsidRPr="002857C8">
        <w:t>PLAN D’ÉPARGNE D’ENTREPRISE, PERCO… : DE QUOI S’AGIT-IL ?</w:t>
      </w:r>
    </w:p>
    <w:p w14:paraId="79539400" w14:textId="77777777" w:rsidR="002857C8" w:rsidRPr="002857C8" w:rsidRDefault="002857C8" w:rsidP="002857C8">
      <w:r w:rsidRPr="002857C8">
        <w:t>Le plan d’épargne entreprise (PEE) est un système d’épargne collectif ouvrant aux salariés la faculté de se constituer, avec l’aide de l’entreprise, un portefeuille de valeurs mobilières.</w:t>
      </w:r>
    </w:p>
    <w:p w14:paraId="1661AD94" w14:textId="77777777" w:rsidR="002857C8" w:rsidRPr="002857C8" w:rsidRDefault="002857C8" w:rsidP="002857C8">
      <w:r w:rsidRPr="002857C8">
        <w:t>Le plan d’épargne pour la retraite collectif (Perco) permet aux salariés concernés de se constituer, dans un cadre collectif et avec l’aide de leur entreprise, une épargne accessible au moment de leur retraite.</w:t>
      </w:r>
    </w:p>
    <w:p w14:paraId="3C4CCE9F" w14:textId="77777777" w:rsidR="002857C8" w:rsidRPr="002857C8" w:rsidRDefault="002857C8" w:rsidP="002857C8">
      <w:r w:rsidRPr="002857C8">
        <w:t>PERE-CO Ce nouveau plan d’épargne salariale, créé par l’ordonnance n° 2019-766 du 24 juillet 2019 prise en application de la loi du 22 mai 2019 (loi « Pacte »), est appelé à succéder aux actuels Perco, qui ne pourront plus être mis en place à compter du 1er octobre 2020.</w:t>
      </w:r>
    </w:p>
    <w:p w14:paraId="699F8B04" w14:textId="77777777" w:rsidR="002857C8" w:rsidRPr="002857C8" w:rsidRDefault="002857C8" w:rsidP="002857C8"/>
    <w:p w14:paraId="4B0C355D" w14:textId="77777777" w:rsidR="004C7AC3" w:rsidRPr="002857C8" w:rsidRDefault="004C7AC3" w:rsidP="002857C8"/>
    <w:sectPr w:rsidR="004C7AC3" w:rsidRPr="00285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5E60D8"/>
    <w:multiLevelType w:val="hybridMultilevel"/>
    <w:tmpl w:val="132276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F6650A5"/>
    <w:multiLevelType w:val="hybridMultilevel"/>
    <w:tmpl w:val="23420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D34831"/>
    <w:multiLevelType w:val="hybridMultilevel"/>
    <w:tmpl w:val="82AA2F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2369EE"/>
    <w:multiLevelType w:val="hybridMultilevel"/>
    <w:tmpl w:val="249E23A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7C8"/>
    <w:rsid w:val="002857C8"/>
    <w:rsid w:val="00345A12"/>
    <w:rsid w:val="004C7AC3"/>
    <w:rsid w:val="007D50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071EF"/>
  <w15:chartTrackingRefBased/>
  <w15:docId w15:val="{B8A35357-C3AB-4A89-9A9B-B6D41ED2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7C8"/>
  </w:style>
  <w:style w:type="paragraph" w:styleId="Titre1">
    <w:name w:val="heading 1"/>
    <w:basedOn w:val="Normal"/>
    <w:link w:val="Titre1Car"/>
    <w:uiPriority w:val="9"/>
    <w:qFormat/>
    <w:rsid w:val="002857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857C8"/>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semiHidden/>
    <w:unhideWhenUsed/>
    <w:rsid w:val="002857C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2857C8"/>
    <w:pPr>
      <w:ind w:left="720"/>
      <w:contextualSpacing/>
    </w:pPr>
  </w:style>
  <w:style w:type="character" w:styleId="lev">
    <w:name w:val="Strong"/>
    <w:basedOn w:val="Policepardfaut"/>
    <w:uiPriority w:val="22"/>
    <w:qFormat/>
    <w:rsid w:val="002857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342</Words>
  <Characters>1884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Emilie Nicoleau</cp:lastModifiedBy>
  <cp:revision>2</cp:revision>
  <dcterms:created xsi:type="dcterms:W3CDTF">2020-03-11T05:46:00Z</dcterms:created>
  <dcterms:modified xsi:type="dcterms:W3CDTF">2020-03-11T05:46:00Z</dcterms:modified>
</cp:coreProperties>
</file>